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002" w:type="dxa"/>
        <w:tblInd w:w="113" w:type="dxa"/>
        <w:tblLayout w:type="fixed"/>
        <w:tblCellMar>
          <w:top w:w="8" w:type="dxa"/>
          <w:left w:w="108" w:type="dxa"/>
          <w:bottom w:w="0" w:type="dxa"/>
          <w:right w:w="68" w:type="dxa"/>
        </w:tblCellMar>
      </w:tblPr>
      <w:tblGrid>
        <w:gridCol w:w="1844"/>
        <w:gridCol w:w="4998"/>
        <w:gridCol w:w="2160"/>
      </w:tblGrid>
      <w:tr>
        <w:tblPrEx>
          <w:tblLayout w:type="fixed"/>
          <w:tblCellMar>
            <w:top w:w="8" w:type="dxa"/>
            <w:left w:w="108" w:type="dxa"/>
            <w:bottom w:w="0" w:type="dxa"/>
            <w:right w:w="68" w:type="dxa"/>
          </w:tblCellMar>
        </w:tblPrEx>
        <w:trPr>
          <w:trHeight w:val="351"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jc w:val="both"/>
            </w:pPr>
            <w:r>
              <w:rPr>
                <w:b/>
                <w:sz w:val="24"/>
              </w:rPr>
              <w:t xml:space="preserve">Module Name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Financial Management II </w:t>
            </w:r>
          </w:p>
        </w:tc>
      </w:tr>
      <w:tr>
        <w:tblPrEx>
          <w:tblLayout w:type="fixed"/>
          <w:tblCellMar>
            <w:top w:w="8" w:type="dxa"/>
            <w:left w:w="108" w:type="dxa"/>
            <w:bottom w:w="0" w:type="dxa"/>
            <w:right w:w="68" w:type="dxa"/>
          </w:tblCellMar>
        </w:tblPrEx>
        <w:trPr>
          <w:trHeight w:val="350"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Module Code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AFFM325 </w:t>
            </w:r>
          </w:p>
        </w:tc>
      </w:tr>
      <w:tr>
        <w:tblPrEx>
          <w:tblLayout w:type="fixed"/>
          <w:tblCellMar>
            <w:top w:w="8" w:type="dxa"/>
            <w:left w:w="108" w:type="dxa"/>
            <w:bottom w:w="0" w:type="dxa"/>
            <w:right w:w="68" w:type="dxa"/>
          </w:tblCellMar>
        </w:tblPrEx>
        <w:trPr>
          <w:trHeight w:val="350"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Level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Diploma </w:t>
            </w:r>
          </w:p>
        </w:tc>
      </w:tr>
      <w:tr>
        <w:tblPrEx>
          <w:tblLayout w:type="fixed"/>
          <w:tblCellMar>
            <w:top w:w="8" w:type="dxa"/>
            <w:left w:w="108" w:type="dxa"/>
            <w:bottom w:w="0" w:type="dxa"/>
            <w:right w:w="68" w:type="dxa"/>
          </w:tblCellMar>
        </w:tblPrEx>
        <w:trPr>
          <w:trHeight w:val="348"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Status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Compulsory </w:t>
            </w:r>
          </w:p>
        </w:tc>
      </w:tr>
      <w:tr>
        <w:tblPrEx>
          <w:tblLayout w:type="fixed"/>
          <w:tblCellMar>
            <w:top w:w="8" w:type="dxa"/>
            <w:left w:w="108" w:type="dxa"/>
            <w:bottom w:w="0" w:type="dxa"/>
            <w:right w:w="68" w:type="dxa"/>
          </w:tblCellMar>
        </w:tblPrEx>
        <w:trPr>
          <w:trHeight w:val="350"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Credit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4 </w:t>
            </w:r>
          </w:p>
        </w:tc>
      </w:tr>
      <w:tr>
        <w:tblPrEx>
          <w:tblLayout w:type="fixed"/>
          <w:tblCellMar>
            <w:top w:w="8" w:type="dxa"/>
            <w:left w:w="108" w:type="dxa"/>
            <w:bottom w:w="0" w:type="dxa"/>
            <w:right w:w="68" w:type="dxa"/>
          </w:tblCellMar>
        </w:tblPrEx>
        <w:trPr>
          <w:trHeight w:val="350"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Year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pPr>
            <w:r>
              <w:rPr>
                <w:rFonts w:hint="eastAsia" w:eastAsia="宋体"/>
                <w:sz w:val="24"/>
                <w:lang w:val="en-US" w:eastAsia="zh-CN"/>
              </w:rPr>
              <w:t>3</w:t>
            </w:r>
          </w:p>
        </w:tc>
      </w:tr>
      <w:tr>
        <w:tblPrEx>
          <w:tblLayout w:type="fixed"/>
          <w:tblCellMar>
            <w:top w:w="8" w:type="dxa"/>
            <w:left w:w="108" w:type="dxa"/>
            <w:bottom w:w="0" w:type="dxa"/>
            <w:right w:w="68" w:type="dxa"/>
          </w:tblCellMar>
        </w:tblPrEx>
        <w:trPr>
          <w:trHeight w:val="350"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Stage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pPr>
            <w:r>
              <w:rPr>
                <w:rFonts w:hint="eastAsia" w:eastAsia="宋体"/>
                <w:sz w:val="24"/>
                <w:lang w:val="en-US" w:eastAsia="zh-CN"/>
              </w:rPr>
              <w:t>5</w:t>
            </w:r>
            <w:r>
              <w:rPr>
                <w:sz w:val="24"/>
              </w:rPr>
              <w:t xml:space="preserve"> </w:t>
            </w:r>
          </w:p>
        </w:tc>
      </w:tr>
      <w:tr>
        <w:tblPrEx>
          <w:tblLayout w:type="fixed"/>
          <w:tblCellMar>
            <w:top w:w="8" w:type="dxa"/>
            <w:left w:w="108" w:type="dxa"/>
            <w:bottom w:w="0" w:type="dxa"/>
            <w:right w:w="68" w:type="dxa"/>
          </w:tblCellMar>
        </w:tblPrEx>
        <w:trPr>
          <w:trHeight w:val="350"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jc w:val="both"/>
            </w:pPr>
            <w:r>
              <w:rPr>
                <w:b/>
                <w:sz w:val="24"/>
              </w:rPr>
              <w:t xml:space="preserve">Pre-requisites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AFFM315  </w:t>
            </w:r>
          </w:p>
        </w:tc>
      </w:tr>
      <w:tr>
        <w:tblPrEx>
          <w:tblLayout w:type="fixed"/>
          <w:tblCellMar>
            <w:top w:w="8" w:type="dxa"/>
            <w:left w:w="108" w:type="dxa"/>
            <w:bottom w:w="0" w:type="dxa"/>
            <w:right w:w="68" w:type="dxa"/>
          </w:tblCellMar>
        </w:tblPrEx>
        <w:trPr>
          <w:trHeight w:val="3322"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Description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1" w:line="240" w:lineRule="auto"/>
              <w:ind w:left="0" w:firstLine="0"/>
              <w:jc w:val="both"/>
            </w:pPr>
            <w:r>
              <w:rPr>
                <w:sz w:val="24"/>
              </w:rPr>
              <w:t>This course is designed to provide students with a broad understanding of all the important financial principles, concepts and analytic</w:t>
            </w:r>
            <w:r>
              <w:rPr>
                <w:rFonts w:hint="eastAsia" w:eastAsia="宋体"/>
                <w:sz w:val="24"/>
                <w:lang w:val="en-US" w:eastAsia="zh-CN"/>
              </w:rPr>
              <w:t>a</w:t>
            </w:r>
            <w:bookmarkStart w:id="0" w:name="_GoBack"/>
            <w:bookmarkEnd w:id="0"/>
            <w:r>
              <w:rPr>
                <w:sz w:val="24"/>
              </w:rPr>
              <w:t>l tools. It covers corporate finance and capital markets, emphasizing the financial aspects of managerial decisions. This course requires an understanding and analysis of financial statements, fundamental concepts such as the time value of money, risk and return, corporate financing choices, and investment analysis. It also covers topics on</w:t>
            </w:r>
            <w:r>
              <w:rPr>
                <w:rFonts w:ascii="Times New Roman" w:hAnsi="Times New Roman" w:eastAsia="Times New Roman" w:cs="Times New Roman"/>
                <w:sz w:val="24"/>
              </w:rPr>
              <w:t xml:space="preserve"> </w:t>
            </w:r>
            <w:r>
              <w:rPr>
                <w:sz w:val="24"/>
              </w:rPr>
              <w:t xml:space="preserve">present value and capital budgeting; financial decisions and market efficiency; and capital structure.   </w:t>
            </w:r>
          </w:p>
          <w:p>
            <w:pPr>
              <w:spacing w:after="0"/>
              <w:ind w:left="0" w:firstLine="0"/>
              <w:jc w:val="both"/>
            </w:pPr>
            <w:r>
              <w:rPr>
                <w:sz w:val="24"/>
              </w:rPr>
              <w:t xml:space="preserve">This course will be divided into 2 modules – Financial Management I and Financial Management II. </w:t>
            </w:r>
          </w:p>
        </w:tc>
      </w:tr>
      <w:tr>
        <w:tblPrEx>
          <w:tblLayout w:type="fixed"/>
          <w:tblCellMar>
            <w:top w:w="8" w:type="dxa"/>
            <w:left w:w="108" w:type="dxa"/>
            <w:bottom w:w="0" w:type="dxa"/>
            <w:right w:w="68" w:type="dxa"/>
          </w:tblCellMar>
        </w:tblPrEx>
        <w:trPr>
          <w:trHeight w:val="4426" w:hRule="atLeast"/>
        </w:trPr>
        <w:tc>
          <w:tcPr>
            <w:tcW w:w="1844"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Learning Outcome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0" w:firstLine="0"/>
              <w:jc w:val="both"/>
            </w:pPr>
            <w:r>
              <w:rPr>
                <w:sz w:val="24"/>
              </w:rPr>
              <w:t xml:space="preserve">Upon completion of this course, students will be able to: </w:t>
            </w:r>
          </w:p>
          <w:p>
            <w:pPr>
              <w:numPr>
                <w:ilvl w:val="0"/>
                <w:numId w:val="1"/>
              </w:numPr>
              <w:spacing w:after="0"/>
              <w:ind w:hanging="451"/>
              <w:jc w:val="both"/>
            </w:pPr>
            <w:r>
              <w:rPr>
                <w:sz w:val="24"/>
              </w:rPr>
              <w:t xml:space="preserve">Calculate the return on an investment and expected returns </w:t>
            </w:r>
          </w:p>
          <w:p>
            <w:pPr>
              <w:numPr>
                <w:ilvl w:val="0"/>
                <w:numId w:val="1"/>
              </w:numPr>
              <w:spacing w:after="16"/>
              <w:ind w:hanging="451"/>
              <w:jc w:val="both"/>
            </w:pPr>
            <w:r>
              <w:rPr>
                <w:sz w:val="24"/>
              </w:rPr>
              <w:t xml:space="preserve">Understand the impact of diversification </w:t>
            </w:r>
          </w:p>
          <w:p>
            <w:pPr>
              <w:numPr>
                <w:ilvl w:val="0"/>
                <w:numId w:val="1"/>
              </w:numPr>
              <w:spacing w:after="0" w:line="240" w:lineRule="auto"/>
              <w:ind w:hanging="451"/>
              <w:jc w:val="both"/>
            </w:pPr>
            <w:r>
              <w:rPr>
                <w:sz w:val="24"/>
              </w:rPr>
              <w:t xml:space="preserve">Understand and determine a firm’s cost of equity, cost of debt, overall cost of capital. </w:t>
            </w:r>
          </w:p>
          <w:p>
            <w:pPr>
              <w:numPr>
                <w:ilvl w:val="0"/>
                <w:numId w:val="1"/>
              </w:numPr>
              <w:spacing w:after="0"/>
              <w:ind w:hanging="451"/>
              <w:jc w:val="both"/>
            </w:pPr>
            <w:r>
              <w:rPr>
                <w:sz w:val="24"/>
              </w:rPr>
              <w:t xml:space="preserve">Describe the various methods of raising capitals </w:t>
            </w:r>
          </w:p>
          <w:p>
            <w:pPr>
              <w:numPr>
                <w:ilvl w:val="0"/>
                <w:numId w:val="1"/>
              </w:numPr>
              <w:spacing w:after="0"/>
              <w:ind w:hanging="451"/>
              <w:jc w:val="both"/>
            </w:pPr>
            <w:r>
              <w:rPr>
                <w:sz w:val="24"/>
              </w:rPr>
              <w:t xml:space="preserve">Identify the effect of financial leverage </w:t>
            </w:r>
          </w:p>
          <w:p>
            <w:pPr>
              <w:numPr>
                <w:ilvl w:val="0"/>
                <w:numId w:val="1"/>
              </w:numPr>
              <w:spacing w:after="0" w:line="240" w:lineRule="auto"/>
              <w:ind w:hanging="451"/>
              <w:jc w:val="both"/>
            </w:pPr>
            <w:r>
              <w:rPr>
                <w:sz w:val="24"/>
              </w:rPr>
              <w:t xml:space="preserve">Understand the different types of dividends and payout policy. </w:t>
            </w:r>
          </w:p>
          <w:p>
            <w:pPr>
              <w:numPr>
                <w:ilvl w:val="0"/>
                <w:numId w:val="1"/>
              </w:numPr>
              <w:spacing w:after="0"/>
              <w:ind w:hanging="451"/>
              <w:jc w:val="both"/>
            </w:pPr>
            <w:r>
              <w:rPr>
                <w:sz w:val="24"/>
              </w:rPr>
              <w:t xml:space="preserve">Understand the concepts of short-term financial planning. </w:t>
            </w:r>
          </w:p>
          <w:p>
            <w:pPr>
              <w:numPr>
                <w:ilvl w:val="0"/>
                <w:numId w:val="1"/>
              </w:numPr>
              <w:spacing w:after="0" w:line="240" w:lineRule="auto"/>
              <w:ind w:hanging="451"/>
              <w:jc w:val="both"/>
            </w:pPr>
            <w:r>
              <w:rPr>
                <w:sz w:val="24"/>
              </w:rPr>
              <w:t xml:space="preserve">Understand the importance of float and how it affects the cash balances. </w:t>
            </w:r>
          </w:p>
          <w:p>
            <w:pPr>
              <w:numPr>
                <w:ilvl w:val="0"/>
                <w:numId w:val="1"/>
              </w:numPr>
              <w:spacing w:after="0" w:line="240" w:lineRule="auto"/>
              <w:ind w:hanging="451"/>
              <w:jc w:val="both"/>
            </w:pPr>
            <w:r>
              <w:rPr>
                <w:sz w:val="24"/>
              </w:rPr>
              <w:t xml:space="preserve">Comprehend how firms manage receivables, basic credit policies and types of inventory management systems. </w:t>
            </w:r>
          </w:p>
          <w:p>
            <w:pPr>
              <w:numPr>
                <w:ilvl w:val="0"/>
                <w:numId w:val="1"/>
              </w:numPr>
              <w:spacing w:after="0"/>
              <w:ind w:hanging="451"/>
              <w:jc w:val="both"/>
            </w:pPr>
            <w:r>
              <w:rPr>
                <w:sz w:val="24"/>
              </w:rPr>
              <w:t xml:space="preserve">Identify the different types of exchange rate risk and ways firms manage exchange rate risk. </w:t>
            </w:r>
          </w:p>
        </w:tc>
      </w:tr>
      <w:tr>
        <w:tblPrEx>
          <w:tblLayout w:type="fixed"/>
          <w:tblCellMar>
            <w:top w:w="8" w:type="dxa"/>
            <w:left w:w="108" w:type="dxa"/>
            <w:bottom w:w="0" w:type="dxa"/>
            <w:right w:w="68" w:type="dxa"/>
          </w:tblCellMar>
        </w:tblPrEx>
        <w:trPr>
          <w:trHeight w:val="356" w:hRule="atLeast"/>
        </w:trPr>
        <w:tc>
          <w:tcPr>
            <w:tcW w:w="1844" w:type="dxa"/>
            <w:vMerge w:val="restart"/>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Lecture/ </w:t>
            </w:r>
          </w:p>
          <w:p>
            <w:pPr>
              <w:spacing w:after="0"/>
              <w:ind w:left="0" w:firstLine="0"/>
            </w:pPr>
            <w:r>
              <w:rPr>
                <w:b/>
                <w:sz w:val="24"/>
              </w:rPr>
              <w:t xml:space="preserve">Tutorial </w:t>
            </w:r>
          </w:p>
          <w:p>
            <w:pPr>
              <w:spacing w:after="0"/>
              <w:ind w:left="0" w:firstLine="0"/>
            </w:pPr>
            <w:r>
              <w:rPr>
                <w:b/>
                <w:sz w:val="24"/>
              </w:rPr>
              <w:t xml:space="preserve">Hours </w:t>
            </w:r>
          </w:p>
        </w:tc>
        <w:tc>
          <w:tcPr>
            <w:tcW w:w="4998" w:type="dxa"/>
            <w:tcBorders>
              <w:top w:val="single" w:color="000000" w:sz="4" w:space="0"/>
              <w:left w:val="single" w:color="000000" w:sz="4" w:space="0"/>
              <w:bottom w:val="single" w:color="000000" w:sz="4" w:space="0"/>
              <w:right w:val="single" w:color="000000" w:sz="4" w:space="0"/>
            </w:tcBorders>
          </w:tcPr>
          <w:p>
            <w:pPr>
              <w:spacing w:after="0"/>
              <w:ind w:left="46" w:firstLine="0"/>
            </w:pPr>
            <w:r>
              <w:rPr>
                <w:rFonts w:ascii="Segoe UI Symbol" w:hAnsi="Segoe UI Symbol" w:eastAsia="Segoe UI Symbol" w:cs="Segoe UI Symbol"/>
                <w:sz w:val="24"/>
              </w:rPr>
              <w:t></w:t>
            </w:r>
            <w:r>
              <w:rPr>
                <w:sz w:val="24"/>
              </w:rPr>
              <w:t xml:space="preserve"> Lecture Hours </w:t>
            </w:r>
          </w:p>
        </w:tc>
        <w:tc>
          <w:tcPr>
            <w:tcW w:w="2160" w:type="dxa"/>
            <w:tcBorders>
              <w:top w:val="single" w:color="000000" w:sz="4" w:space="0"/>
              <w:left w:val="single" w:color="000000" w:sz="4" w:space="0"/>
              <w:bottom w:val="single" w:color="000000" w:sz="4" w:space="0"/>
              <w:right w:val="single" w:color="000000" w:sz="4" w:space="0"/>
            </w:tcBorders>
          </w:tcPr>
          <w:p>
            <w:pPr>
              <w:spacing w:after="0"/>
              <w:ind w:left="0" w:firstLine="0"/>
            </w:pPr>
            <w:r>
              <w:rPr>
                <w:rFonts w:hint="eastAsia" w:eastAsia="宋体"/>
                <w:sz w:val="24"/>
                <w:lang w:val="en-US" w:eastAsia="zh-CN"/>
              </w:rPr>
              <w:t>44</w:t>
            </w:r>
            <w:r>
              <w:rPr>
                <w:sz w:val="24"/>
              </w:rPr>
              <w:t xml:space="preserve"> </w:t>
            </w:r>
          </w:p>
        </w:tc>
      </w:tr>
      <w:tr>
        <w:tblPrEx>
          <w:tblLayout w:type="fixed"/>
          <w:tblCellMar>
            <w:top w:w="8" w:type="dxa"/>
            <w:left w:w="108" w:type="dxa"/>
            <w:bottom w:w="0" w:type="dxa"/>
            <w:right w:w="68" w:type="dxa"/>
          </w:tblCellMar>
        </w:tblPrEx>
        <w:trPr>
          <w:trHeight w:val="355" w:hRule="atLeast"/>
        </w:trPr>
        <w:tc>
          <w:tcPr>
            <w:tcW w:w="1844" w:type="dxa"/>
            <w:vMerge w:val="continue"/>
            <w:tcBorders>
              <w:top w:val="nil"/>
              <w:left w:val="single" w:color="000000" w:sz="4" w:space="0"/>
              <w:bottom w:val="nil"/>
              <w:right w:val="single" w:color="000000" w:sz="4" w:space="0"/>
            </w:tcBorders>
          </w:tcPr>
          <w:p>
            <w:pPr>
              <w:spacing w:after="160"/>
              <w:ind w:left="0" w:firstLine="0"/>
            </w:pPr>
          </w:p>
        </w:tc>
        <w:tc>
          <w:tcPr>
            <w:tcW w:w="4998" w:type="dxa"/>
            <w:tcBorders>
              <w:top w:val="single" w:color="000000" w:sz="4" w:space="0"/>
              <w:left w:val="single" w:color="000000" w:sz="4" w:space="0"/>
              <w:bottom w:val="single" w:color="000000" w:sz="4" w:space="0"/>
              <w:right w:val="single" w:color="000000" w:sz="4" w:space="0"/>
            </w:tcBorders>
          </w:tcPr>
          <w:p>
            <w:pPr>
              <w:spacing w:after="0"/>
              <w:ind w:left="46" w:firstLine="0"/>
            </w:pPr>
            <w:r>
              <w:rPr>
                <w:rFonts w:ascii="Segoe UI Symbol" w:hAnsi="Segoe UI Symbol" w:eastAsia="Segoe UI Symbol" w:cs="Segoe UI Symbol"/>
                <w:sz w:val="24"/>
              </w:rPr>
              <w:t></w:t>
            </w:r>
            <w:r>
              <w:rPr>
                <w:sz w:val="24"/>
              </w:rPr>
              <w:t xml:space="preserve"> Tutorial Hours </w:t>
            </w:r>
          </w:p>
        </w:tc>
        <w:tc>
          <w:tcPr>
            <w:tcW w:w="2160" w:type="dxa"/>
            <w:tcBorders>
              <w:top w:val="single" w:color="000000" w:sz="4" w:space="0"/>
              <w:left w:val="single" w:color="000000" w:sz="4" w:space="0"/>
              <w:bottom w:val="single" w:color="000000" w:sz="4" w:space="0"/>
              <w:right w:val="single" w:color="000000" w:sz="4" w:space="0"/>
            </w:tcBorders>
          </w:tcPr>
          <w:p>
            <w:pPr>
              <w:spacing w:after="0"/>
              <w:ind w:left="0" w:firstLine="0"/>
            </w:pPr>
            <w:r>
              <w:rPr>
                <w:rFonts w:hint="eastAsia" w:eastAsia="宋体"/>
                <w:sz w:val="24"/>
                <w:lang w:val="en-US" w:eastAsia="zh-CN"/>
              </w:rPr>
              <w:t>16</w:t>
            </w:r>
            <w:r>
              <w:rPr>
                <w:sz w:val="24"/>
              </w:rPr>
              <w:t xml:space="preserve"> </w:t>
            </w:r>
          </w:p>
        </w:tc>
      </w:tr>
      <w:tr>
        <w:tblPrEx>
          <w:tblLayout w:type="fixed"/>
          <w:tblCellMar>
            <w:top w:w="8" w:type="dxa"/>
            <w:left w:w="108" w:type="dxa"/>
            <w:bottom w:w="0" w:type="dxa"/>
            <w:right w:w="68" w:type="dxa"/>
          </w:tblCellMar>
        </w:tblPrEx>
        <w:trPr>
          <w:trHeight w:val="358" w:hRule="atLeast"/>
        </w:trPr>
        <w:tc>
          <w:tcPr>
            <w:tcW w:w="1844" w:type="dxa"/>
            <w:vMerge w:val="continue"/>
            <w:tcBorders>
              <w:top w:val="nil"/>
              <w:left w:val="single" w:color="000000" w:sz="4" w:space="0"/>
              <w:bottom w:val="single" w:color="000000" w:sz="4" w:space="0"/>
              <w:right w:val="single" w:color="000000" w:sz="4" w:space="0"/>
            </w:tcBorders>
          </w:tcPr>
          <w:p>
            <w:pPr>
              <w:spacing w:after="160"/>
              <w:ind w:left="0" w:firstLine="0"/>
            </w:pPr>
          </w:p>
        </w:tc>
        <w:tc>
          <w:tcPr>
            <w:tcW w:w="4998" w:type="dxa"/>
            <w:tcBorders>
              <w:top w:val="single" w:color="000000" w:sz="4" w:space="0"/>
              <w:left w:val="single" w:color="000000" w:sz="4" w:space="0"/>
              <w:bottom w:val="single" w:color="000000" w:sz="4" w:space="0"/>
              <w:right w:val="single" w:color="000000" w:sz="4" w:space="0"/>
            </w:tcBorders>
          </w:tcPr>
          <w:p>
            <w:pPr>
              <w:spacing w:after="0"/>
              <w:ind w:left="46" w:firstLine="0"/>
            </w:pPr>
            <w:r>
              <w:rPr>
                <w:rFonts w:ascii="Segoe UI Symbol" w:hAnsi="Segoe UI Symbol" w:eastAsia="Segoe UI Symbol" w:cs="Segoe UI Symbol"/>
                <w:sz w:val="24"/>
              </w:rPr>
              <w:t></w:t>
            </w:r>
            <w:r>
              <w:rPr>
                <w:sz w:val="24"/>
              </w:rPr>
              <w:t xml:space="preserve"> Total Hours </w:t>
            </w:r>
          </w:p>
        </w:tc>
        <w:tc>
          <w:tcPr>
            <w:tcW w:w="2160"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60 </w:t>
            </w:r>
          </w:p>
        </w:tc>
      </w:tr>
      <w:tr>
        <w:tblPrEx>
          <w:tblLayout w:type="fixed"/>
          <w:tblCellMar>
            <w:top w:w="8" w:type="dxa"/>
            <w:left w:w="108" w:type="dxa"/>
            <w:bottom w:w="0" w:type="dxa"/>
            <w:right w:w="68" w:type="dxa"/>
          </w:tblCellMar>
        </w:tblPrEx>
        <w:trPr>
          <w:trHeight w:val="355" w:hRule="atLeast"/>
        </w:trPr>
        <w:tc>
          <w:tcPr>
            <w:tcW w:w="1844" w:type="dxa"/>
            <w:vMerge w:val="restart"/>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Assessment </w:t>
            </w:r>
          </w:p>
        </w:tc>
        <w:tc>
          <w:tcPr>
            <w:tcW w:w="4998" w:type="dxa"/>
            <w:tcBorders>
              <w:top w:val="single" w:color="000000" w:sz="4" w:space="0"/>
              <w:left w:val="single" w:color="000000" w:sz="4" w:space="0"/>
              <w:bottom w:val="single" w:color="000000" w:sz="4" w:space="0"/>
              <w:right w:val="single" w:color="000000" w:sz="4" w:space="0"/>
            </w:tcBorders>
          </w:tcPr>
          <w:p>
            <w:pPr>
              <w:spacing w:after="0"/>
              <w:ind w:left="46" w:firstLine="0"/>
            </w:pPr>
            <w:r>
              <w:rPr>
                <w:rFonts w:ascii="Segoe UI Symbol" w:hAnsi="Segoe UI Symbol" w:eastAsia="Segoe UI Symbol" w:cs="Segoe UI Symbol"/>
                <w:sz w:val="24"/>
              </w:rPr>
              <w:t></w:t>
            </w:r>
            <w:r>
              <w:rPr>
                <w:sz w:val="24"/>
              </w:rPr>
              <w:t xml:space="preserve"> Continuous Assessment 1 -test</w:t>
            </w:r>
          </w:p>
        </w:tc>
        <w:tc>
          <w:tcPr>
            <w:tcW w:w="2160" w:type="dxa"/>
            <w:tcBorders>
              <w:top w:val="single" w:color="000000" w:sz="4" w:space="0"/>
              <w:left w:val="single" w:color="000000" w:sz="4" w:space="0"/>
              <w:bottom w:val="single" w:color="000000" w:sz="4" w:space="0"/>
              <w:right w:val="single" w:color="000000" w:sz="4" w:space="0"/>
            </w:tcBorders>
          </w:tcPr>
          <w:p>
            <w:pPr>
              <w:spacing w:after="0"/>
              <w:ind w:left="0" w:firstLine="0"/>
            </w:pPr>
            <w:r>
              <w:rPr>
                <w:rFonts w:hint="eastAsia" w:eastAsia="宋体"/>
                <w:sz w:val="24"/>
                <w:lang w:val="en-US" w:eastAsia="zh-CN"/>
              </w:rPr>
              <w:t>2</w:t>
            </w:r>
            <w:r>
              <w:rPr>
                <w:sz w:val="24"/>
              </w:rPr>
              <w:t xml:space="preserve">0% </w:t>
            </w:r>
          </w:p>
        </w:tc>
      </w:tr>
      <w:tr>
        <w:tblPrEx>
          <w:tblLayout w:type="fixed"/>
          <w:tblCellMar>
            <w:top w:w="8" w:type="dxa"/>
            <w:left w:w="108" w:type="dxa"/>
            <w:bottom w:w="0" w:type="dxa"/>
            <w:right w:w="68" w:type="dxa"/>
          </w:tblCellMar>
        </w:tblPrEx>
        <w:trPr>
          <w:trHeight w:val="355" w:hRule="atLeast"/>
        </w:trPr>
        <w:tc>
          <w:tcPr>
            <w:tcW w:w="1844" w:type="dxa"/>
            <w:vMerge w:val="continue"/>
            <w:tcBorders>
              <w:top w:val="nil"/>
              <w:left w:val="single" w:color="000000" w:sz="4" w:space="0"/>
              <w:bottom w:val="nil"/>
              <w:right w:val="single" w:color="000000" w:sz="4" w:space="0"/>
            </w:tcBorders>
          </w:tcPr>
          <w:p>
            <w:pPr>
              <w:spacing w:after="160"/>
              <w:ind w:left="0" w:firstLine="0"/>
            </w:pPr>
          </w:p>
        </w:tc>
        <w:tc>
          <w:tcPr>
            <w:tcW w:w="4998" w:type="dxa"/>
            <w:tcBorders>
              <w:top w:val="single" w:color="000000" w:sz="4" w:space="0"/>
              <w:left w:val="single" w:color="000000" w:sz="4" w:space="0"/>
              <w:bottom w:val="single" w:color="000000" w:sz="4" w:space="0"/>
              <w:right w:val="single" w:color="000000" w:sz="4" w:space="0"/>
            </w:tcBorders>
          </w:tcPr>
          <w:p>
            <w:pPr>
              <w:spacing w:after="0"/>
              <w:ind w:left="46" w:firstLine="0"/>
            </w:pPr>
            <w:r>
              <w:rPr>
                <w:rFonts w:hint="eastAsia" w:eastAsia="宋体"/>
                <w:sz w:val="24"/>
                <w:lang w:val="en-US" w:eastAsia="zh-CN"/>
              </w:rPr>
              <w:t xml:space="preserve">     </w:t>
            </w:r>
            <w:r>
              <w:rPr>
                <w:sz w:val="24"/>
              </w:rPr>
              <w:t>2 Mini-assignment</w:t>
            </w:r>
          </w:p>
        </w:tc>
        <w:tc>
          <w:tcPr>
            <w:tcW w:w="2160"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20% </w:t>
            </w:r>
          </w:p>
        </w:tc>
      </w:tr>
      <w:tr>
        <w:tblPrEx>
          <w:tblLayout w:type="fixed"/>
          <w:tblCellMar>
            <w:top w:w="8" w:type="dxa"/>
            <w:left w:w="108" w:type="dxa"/>
            <w:bottom w:w="0" w:type="dxa"/>
            <w:right w:w="68" w:type="dxa"/>
          </w:tblCellMar>
        </w:tblPrEx>
        <w:trPr>
          <w:trHeight w:val="358" w:hRule="atLeast"/>
        </w:trPr>
        <w:tc>
          <w:tcPr>
            <w:tcW w:w="1844" w:type="dxa"/>
            <w:vMerge w:val="continue"/>
            <w:tcBorders>
              <w:top w:val="nil"/>
              <w:left w:val="single" w:color="000000" w:sz="4" w:space="0"/>
              <w:bottom w:val="nil"/>
              <w:right w:val="single" w:color="000000" w:sz="4" w:space="0"/>
            </w:tcBorders>
          </w:tcPr>
          <w:p>
            <w:pPr>
              <w:spacing w:after="160"/>
              <w:ind w:left="0" w:firstLine="0"/>
            </w:pPr>
          </w:p>
        </w:tc>
        <w:tc>
          <w:tcPr>
            <w:tcW w:w="4998" w:type="dxa"/>
            <w:tcBorders>
              <w:top w:val="single" w:color="000000" w:sz="4" w:space="0"/>
              <w:left w:val="single" w:color="000000" w:sz="4" w:space="0"/>
              <w:bottom w:val="single" w:color="000000" w:sz="4" w:space="0"/>
              <w:right w:val="single" w:color="000000" w:sz="4" w:space="0"/>
            </w:tcBorders>
          </w:tcPr>
          <w:p>
            <w:pPr>
              <w:spacing w:after="0"/>
              <w:ind w:left="46" w:firstLine="0"/>
            </w:pPr>
            <w:r>
              <w:rPr>
                <w:rFonts w:ascii="Segoe UI Symbol" w:hAnsi="Segoe UI Symbol" w:eastAsia="Segoe UI Symbol" w:cs="Segoe UI Symbol"/>
                <w:sz w:val="24"/>
              </w:rPr>
              <w:t></w:t>
            </w:r>
            <w:r>
              <w:rPr>
                <w:sz w:val="24"/>
              </w:rPr>
              <w:t xml:space="preserve"> Final Written Examination  </w:t>
            </w:r>
          </w:p>
        </w:tc>
        <w:tc>
          <w:tcPr>
            <w:tcW w:w="2160" w:type="dxa"/>
            <w:tcBorders>
              <w:top w:val="single" w:color="000000" w:sz="4" w:space="0"/>
              <w:left w:val="single" w:color="000000" w:sz="4" w:space="0"/>
              <w:bottom w:val="single" w:color="000000" w:sz="4" w:space="0"/>
              <w:right w:val="single" w:color="000000" w:sz="4" w:space="0"/>
            </w:tcBorders>
          </w:tcPr>
          <w:p>
            <w:pPr>
              <w:spacing w:after="0"/>
              <w:ind w:left="0" w:firstLine="0"/>
            </w:pPr>
            <w:r>
              <w:rPr>
                <w:rFonts w:hint="eastAsia" w:eastAsia="宋体"/>
                <w:sz w:val="24"/>
                <w:lang w:val="en-US" w:eastAsia="zh-CN"/>
              </w:rPr>
              <w:t>6</w:t>
            </w:r>
            <w:r>
              <w:rPr>
                <w:sz w:val="24"/>
              </w:rPr>
              <w:t xml:space="preserve">0% </w:t>
            </w:r>
          </w:p>
        </w:tc>
      </w:tr>
      <w:tr>
        <w:tblPrEx>
          <w:tblLayout w:type="fixed"/>
          <w:tblCellMar>
            <w:top w:w="8" w:type="dxa"/>
            <w:left w:w="108" w:type="dxa"/>
            <w:bottom w:w="0" w:type="dxa"/>
            <w:right w:w="68" w:type="dxa"/>
          </w:tblCellMar>
        </w:tblPrEx>
        <w:trPr>
          <w:trHeight w:val="355" w:hRule="atLeast"/>
        </w:trPr>
        <w:tc>
          <w:tcPr>
            <w:tcW w:w="1844" w:type="dxa"/>
            <w:vMerge w:val="continue"/>
            <w:tcBorders>
              <w:top w:val="nil"/>
              <w:left w:val="single" w:color="000000" w:sz="4" w:space="0"/>
              <w:bottom w:val="single" w:color="000000" w:sz="4" w:space="0"/>
              <w:right w:val="single" w:color="000000" w:sz="4" w:space="0"/>
            </w:tcBorders>
          </w:tcPr>
          <w:p>
            <w:pPr>
              <w:spacing w:after="160"/>
              <w:ind w:left="0" w:firstLine="0"/>
            </w:pPr>
          </w:p>
        </w:tc>
        <w:tc>
          <w:tcPr>
            <w:tcW w:w="4998" w:type="dxa"/>
            <w:tcBorders>
              <w:top w:val="single" w:color="000000" w:sz="4" w:space="0"/>
              <w:left w:val="single" w:color="000000" w:sz="4" w:space="0"/>
              <w:bottom w:val="single" w:color="000000" w:sz="4" w:space="0"/>
              <w:right w:val="single" w:color="000000" w:sz="4" w:space="0"/>
            </w:tcBorders>
          </w:tcPr>
          <w:p>
            <w:pPr>
              <w:spacing w:after="0"/>
              <w:ind w:left="46" w:firstLine="0"/>
            </w:pPr>
            <w:r>
              <w:rPr>
                <w:rFonts w:ascii="Segoe UI Symbol" w:hAnsi="Segoe UI Symbol" w:eastAsia="Segoe UI Symbol" w:cs="Segoe UI Symbol"/>
                <w:sz w:val="24"/>
              </w:rPr>
              <w:t></w:t>
            </w:r>
            <w:r>
              <w:rPr>
                <w:sz w:val="24"/>
              </w:rPr>
              <w:t xml:space="preserve"> Total Assessments </w:t>
            </w:r>
          </w:p>
        </w:tc>
        <w:tc>
          <w:tcPr>
            <w:tcW w:w="2160"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100% </w:t>
            </w:r>
          </w:p>
        </w:tc>
      </w:tr>
    </w:tbl>
    <w:p>
      <w:pPr>
        <w:spacing w:after="55"/>
        <w:ind w:left="221" w:firstLine="0"/>
      </w:pPr>
      <w:r>
        <w:rPr>
          <w:b/>
          <w:sz w:val="24"/>
        </w:rPr>
        <w:t xml:space="preserve"> </w:t>
      </w:r>
      <w:r>
        <w:rPr>
          <w:b/>
          <w:sz w:val="24"/>
        </w:rPr>
        <w:tab/>
      </w:r>
      <w:r>
        <w:rPr>
          <w:sz w:val="24"/>
        </w:rPr>
        <w:t xml:space="preserve"> </w:t>
      </w:r>
      <w:r>
        <w:rPr>
          <w:sz w:val="24"/>
        </w:rPr>
        <w:tab/>
      </w:r>
      <w:r>
        <w:rPr>
          <w:sz w:val="24"/>
        </w:rPr>
        <w:t xml:space="preserve"> </w:t>
      </w:r>
    </w:p>
    <w:p>
      <w:pPr>
        <w:spacing w:after="25"/>
        <w:ind w:left="-29" w:right="-27" w:firstLine="0"/>
        <w:rPr>
          <w:rFonts w:ascii="Calibri" w:hAnsi="Calibri" w:eastAsia="Calibri" w:cs="Calibri"/>
          <w:sz w:val="22"/>
        </w:rPr>
      </w:pPr>
      <w:r>
        <w:rPr>
          <w:rFonts w:ascii="Calibri" w:hAnsi="Calibri" w:eastAsia="Calibri" w:cs="Calibri"/>
          <w:sz w:val="22"/>
        </w:rPr>
        <mc:AlternateContent>
          <mc:Choice Requires="wpg">
            <w:drawing>
              <wp:inline distT="0" distB="0" distL="0" distR="0">
                <wp:extent cx="5769610" cy="5715"/>
                <wp:effectExtent l="0" t="0" r="0" b="0"/>
                <wp:docPr id="1" name="Group 6793"/>
                <wp:cNvGraphicFramePr/>
                <a:graphic xmlns:a="http://schemas.openxmlformats.org/drawingml/2006/main">
                  <a:graphicData uri="http://schemas.microsoft.com/office/word/2010/wordprocessingGroup">
                    <wpg:wgp>
                      <wpg:cNvGrpSpPr/>
                      <wpg:grpSpPr>
                        <a:xfrm>
                          <a:off x="0" y="0"/>
                          <a:ext cx="5769610" cy="6096"/>
                          <a:chOff x="0" y="0"/>
                          <a:chExt cx="5769610" cy="6096"/>
                        </a:xfrm>
                      </wpg:grpSpPr>
                      <wps:wsp>
                        <wps:cNvPr id="2" name="Shape 7220"/>
                        <wps:cNvSpPr/>
                        <wps:spPr>
                          <a:xfrm>
                            <a:off x="0" y="0"/>
                            <a:ext cx="5769610" cy="9144"/>
                          </a:xfrm>
                          <a:custGeom>
                            <a:avLst/>
                            <a:gdLst/>
                            <a:ahLst/>
                            <a:cxnLst/>
                            <a:rect l="0" t="0" r="0" b="0"/>
                            <a:pathLst>
                              <a:path w="5769610" h="9144">
                                <a:moveTo>
                                  <a:pt x="0" y="0"/>
                                </a:moveTo>
                                <a:lnTo>
                                  <a:pt x="5769610" y="0"/>
                                </a:lnTo>
                                <a:lnTo>
                                  <a:pt x="57696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6793" o:spid="_x0000_s1026" o:spt="203" style="height:0.45pt;width:454.3pt;" coordsize="5769610,6096" o:gfxdata="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g5d1NMAAAACAQAADwAAAAAAAAABACAAAAAiAAAAZHJzL2Rvd25yZXYueG1sUEsB&#10;AhQAFAAAAAgAh07iQD7NKWczAgAAigUAAA4AAAAAAAAAAQAgAAAAIgEAAGRycy9lMm9Eb2MueG1s&#10;UEsFBgAAAAAGAAYAWQEAAMcFAAAAAA==&#10;">
                <o:lock v:ext="edit" aspectratio="f"/>
                <v:shape id="Shape 7220" o:spid="_x0000_s1026" o:spt="100" style="position:absolute;left:0;top:0;height:9144;width:5769610;" fillcolor="#000000" filled="t" stroked="f" coordsize="5769610,9144" o:gfxdata="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7vkAb4A&#10;AADaAAAADwAAAAAAAAABACAAAAAiAAAAZHJzL2Rvd25yZXYueG1sUEsBAhQAFAAAAAgAh07iQDMv&#10;BZ47AAAAOQAAABAAAAAAAAAAAQAgAAAADQEAAGRycy9zaGFwZXhtbC54bWxQSwUGAAAAAAYABgBb&#10;AQAAtwMAAAAA&#10;" path="m0,0l5769610,0,5769610,9144,0,9144,0,0e">
                  <v:fill on="t" focussize="0,0"/>
                  <v:stroke on="f" weight="0pt" miterlimit="1" joinstyle="miter"/>
                  <v:imagedata o:title=""/>
                  <o:lock v:ext="edit" aspectratio="f"/>
                </v:shape>
                <w10:wrap type="none"/>
                <w10:anchorlock/>
              </v:group>
            </w:pict>
          </mc:Fallback>
        </mc:AlternateContent>
      </w:r>
    </w:p>
    <w:p>
      <w:pPr>
        <w:tabs>
          <w:tab w:val="right" w:pos="9030"/>
        </w:tabs>
        <w:ind w:left="-15" w:right="-15" w:firstLine="0"/>
      </w:pPr>
      <w:r>
        <w:t xml:space="preserve">AFFM325 Financial Management II Course Outline (v17) </w:t>
      </w:r>
      <w:r>
        <w:tab/>
      </w:r>
      <w:r>
        <w:t xml:space="preserve">Page: </w:t>
      </w:r>
      <w:r>
        <w:rPr>
          <w:rFonts w:hint="eastAsia" w:eastAsia="宋体"/>
          <w:lang w:val="en-US" w:eastAsia="zh-CN"/>
        </w:rPr>
        <w:t>1</w:t>
      </w:r>
    </w:p>
    <w:p>
      <w:pPr>
        <w:spacing w:after="453"/>
        <w:ind w:left="221" w:firstLine="0"/>
      </w:pPr>
      <w:r>
        <w:rPr>
          <w:b/>
          <w:sz w:val="24"/>
        </w:rPr>
        <w:t xml:space="preserve"> </w:t>
      </w:r>
      <w:r>
        <w:rPr>
          <w:b/>
          <w:sz w:val="24"/>
        </w:rPr>
        <w:tab/>
      </w:r>
      <w:r>
        <w:rPr>
          <w:sz w:val="24"/>
        </w:rPr>
        <w:t xml:space="preserve"> </w:t>
      </w:r>
      <w:r>
        <w:rPr>
          <w:sz w:val="24"/>
        </w:rPr>
        <w:tab/>
      </w:r>
      <w:r>
        <w:rPr>
          <w:sz w:val="24"/>
        </w:rPr>
        <w:t xml:space="preserve"> </w:t>
      </w:r>
    </w:p>
    <w:p>
      <w:pPr>
        <w:spacing w:after="25"/>
        <w:ind w:left="-29" w:right="-27" w:firstLine="0"/>
        <w:rPr>
          <w:rFonts w:ascii="Calibri" w:hAnsi="Calibri" w:eastAsia="Calibri" w:cs="Calibri"/>
          <w:sz w:val="22"/>
        </w:rPr>
      </w:pPr>
    </w:p>
    <w:p>
      <w:pPr>
        <w:spacing w:after="25"/>
        <w:ind w:left="-29" w:right="-27" w:firstLine="0"/>
        <w:rPr>
          <w:rFonts w:ascii="Calibri" w:hAnsi="Calibri" w:eastAsia="Calibri" w:cs="Calibri"/>
          <w:sz w:val="22"/>
        </w:rPr>
      </w:pPr>
    </w:p>
    <w:p>
      <w:pPr>
        <w:spacing w:after="25"/>
        <w:ind w:left="-29" w:right="-27" w:firstLine="0"/>
        <w:rPr>
          <w:rFonts w:ascii="Calibri" w:hAnsi="Calibri" w:eastAsia="Calibri" w:cs="Calibri"/>
          <w:sz w:val="22"/>
        </w:rPr>
      </w:pPr>
    </w:p>
    <w:p>
      <w:pPr>
        <w:spacing w:after="25"/>
        <w:ind w:left="0" w:leftChars="0" w:right="-27" w:firstLine="0" w:firstLineChars="0"/>
        <w:rPr>
          <w:rFonts w:ascii="Calibri" w:hAnsi="Calibri" w:eastAsia="Calibri" w:cs="Calibri"/>
          <w:sz w:val="22"/>
        </w:rPr>
      </w:pPr>
    </w:p>
    <w:p>
      <w:pPr>
        <w:spacing w:after="25"/>
        <w:ind w:left="0" w:leftChars="0" w:right="-27" w:firstLine="0" w:firstLineChars="0"/>
        <w:rPr>
          <w:rFonts w:ascii="Calibri" w:hAnsi="Calibri" w:eastAsia="Calibri" w:cs="Calibri"/>
          <w:sz w:val="22"/>
        </w:rPr>
      </w:pPr>
    </w:p>
    <w:p>
      <w:pPr>
        <w:spacing w:after="25"/>
        <w:ind w:left="0" w:leftChars="0" w:right="-27" w:firstLine="0" w:firstLineChars="0"/>
        <w:rPr>
          <w:rFonts w:ascii="Calibri" w:hAnsi="Calibri" w:eastAsia="Calibri" w:cs="Calibri"/>
          <w:sz w:val="22"/>
        </w:rPr>
      </w:pPr>
    </w:p>
    <w:p>
      <w:pPr>
        <w:spacing w:after="25"/>
        <w:ind w:left="0" w:leftChars="0" w:right="-27" w:firstLine="0" w:firstLineChars="0"/>
        <w:rPr>
          <w:rFonts w:ascii="Calibri" w:hAnsi="Calibri" w:eastAsia="Calibri" w:cs="Calibri"/>
          <w:sz w:val="22"/>
        </w:rPr>
      </w:pPr>
    </w:p>
    <w:p>
      <w:pPr>
        <w:spacing w:after="25"/>
        <w:ind w:left="0" w:leftChars="0" w:right="-27" w:firstLine="0" w:firstLineChars="0"/>
        <w:rPr>
          <w:rFonts w:ascii="Calibri" w:hAnsi="Calibri" w:eastAsia="Calibri" w:cs="Calibri"/>
          <w:sz w:val="22"/>
        </w:rPr>
      </w:pPr>
    </w:p>
    <w:p>
      <w:pPr>
        <w:spacing w:after="25"/>
        <w:ind w:left="0" w:leftChars="0" w:right="-27" w:firstLine="0" w:firstLineChars="0"/>
        <w:rPr>
          <w:rFonts w:ascii="Calibri" w:hAnsi="Calibri" w:eastAsia="Calibri" w:cs="Calibri"/>
          <w:sz w:val="22"/>
        </w:rPr>
      </w:pPr>
    </w:p>
    <w:p>
      <w:pPr>
        <w:spacing w:after="25"/>
        <w:ind w:left="-29" w:right="-27" w:firstLine="0"/>
        <w:rPr>
          <w:rFonts w:ascii="Calibri" w:hAnsi="Calibri" w:eastAsia="Calibri" w:cs="Calibri"/>
          <w:sz w:val="22"/>
        </w:rPr>
      </w:pPr>
      <w:r>
        <w:rPr>
          <w:rFonts w:ascii="Calibri" w:hAnsi="Calibri" w:eastAsia="Calibri" w:cs="Calibri"/>
          <w:sz w:val="22"/>
        </w:rPr>
        <mc:AlternateContent>
          <mc:Choice Requires="wpg">
            <w:drawing>
              <wp:inline distT="0" distB="0" distL="0" distR="0">
                <wp:extent cx="5769610" cy="5715"/>
                <wp:effectExtent l="0" t="0" r="0" b="0"/>
                <wp:docPr id="6793" name="Group 6793"/>
                <wp:cNvGraphicFramePr/>
                <a:graphic xmlns:a="http://schemas.openxmlformats.org/drawingml/2006/main">
                  <a:graphicData uri="http://schemas.microsoft.com/office/word/2010/wordprocessingGroup">
                    <wpg:wgp>
                      <wpg:cNvGrpSpPr/>
                      <wpg:grpSpPr>
                        <a:xfrm>
                          <a:off x="0" y="0"/>
                          <a:ext cx="5769610" cy="6096"/>
                          <a:chOff x="0" y="0"/>
                          <a:chExt cx="5769610" cy="6096"/>
                        </a:xfrm>
                      </wpg:grpSpPr>
                      <wps:wsp>
                        <wps:cNvPr id="7220" name="Shape 7220"/>
                        <wps:cNvSpPr/>
                        <wps:spPr>
                          <a:xfrm>
                            <a:off x="0" y="0"/>
                            <a:ext cx="5769610" cy="9144"/>
                          </a:xfrm>
                          <a:custGeom>
                            <a:avLst/>
                            <a:gdLst/>
                            <a:ahLst/>
                            <a:cxnLst/>
                            <a:rect l="0" t="0" r="0" b="0"/>
                            <a:pathLst>
                              <a:path w="5769610" h="9144">
                                <a:moveTo>
                                  <a:pt x="0" y="0"/>
                                </a:moveTo>
                                <a:lnTo>
                                  <a:pt x="5769610" y="0"/>
                                </a:lnTo>
                                <a:lnTo>
                                  <a:pt x="57696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6793" o:spid="_x0000_s1026" o:spt="203" style="height:0.45pt;width:454.3pt;" coordsize="5769610,6096" o:gfxdata="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g5d1NMAAAACAQAADwAAAAAAAAABACAAAAAiAAAAZHJzL2Rvd25yZXYueG1s&#10;UEsBAhQAFAAAAAgAh07iQEKqSF42AgAAkAUAAA4AAAAAAAAAAQAgAAAAIgEAAGRycy9lMm9Eb2Mu&#10;eG1sUEsFBgAAAAAGAAYAWQEAAMoFAAAAAA==&#10;">
                <o:lock v:ext="edit" aspectratio="f"/>
                <v:shape id="Shape 7220" o:spid="_x0000_s1026" o:spt="100" style="position:absolute;left:0;top:0;height:9144;width:5769610;" fillcolor="#000000" filled="t" stroked="f" coordsize="5769610,9144" o:gfxdata="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k+dgvQAA&#10;AN0AAAAPAAAAAAAAAAEAIAAAACIAAABkcnMvZG93bnJldi54bWxQSwECFAAUAAAACACHTuJAMy8F&#10;njsAAAA5AAAAEAAAAAAAAAABACAAAAAMAQAAZHJzL3NoYXBleG1sLnhtbFBLBQYAAAAABgAGAFsB&#10;AAC2AwAAAAA=&#10;" path="m0,0l5769610,0,5769610,9144,0,9144,0,0e">
                  <v:fill on="t" focussize="0,0"/>
                  <v:stroke on="f" weight="0pt" miterlimit="1" joinstyle="miter"/>
                  <v:imagedata o:title=""/>
                  <o:lock v:ext="edit" aspectratio="f"/>
                </v:shape>
                <w10:wrap type="none"/>
                <w10:anchorlock/>
              </v:group>
            </w:pict>
          </mc:Fallback>
        </mc:AlternateContent>
      </w:r>
    </w:p>
    <w:p>
      <w:pPr>
        <w:tabs>
          <w:tab w:val="right" w:pos="9030"/>
        </w:tabs>
        <w:ind w:left="-15" w:right="-15" w:firstLine="0"/>
      </w:pPr>
      <w:r>
        <w:t xml:space="preserve">AFFM325 Financial Management II Course Outline (v17) </w:t>
      </w:r>
      <w:r>
        <w:tab/>
      </w:r>
      <w:r>
        <w:t xml:space="preserve">Page: </w:t>
      </w:r>
      <w:r>
        <w:rPr>
          <w:rFonts w:hint="eastAsia" w:eastAsia="宋体"/>
          <w:lang w:val="en-US" w:eastAsia="zh-CN"/>
        </w:rPr>
        <w:t>2</w:t>
      </w:r>
    </w:p>
    <w:tbl>
      <w:tblPr>
        <w:tblStyle w:val="4"/>
        <w:tblpPr w:vertAnchor="page" w:horzAnchor="page" w:tblpX="1553" w:tblpY="1445"/>
        <w:tblOverlap w:val="never"/>
        <w:tblW w:w="9002" w:type="dxa"/>
        <w:tblInd w:w="0" w:type="dxa"/>
        <w:tblLayout w:type="fixed"/>
        <w:tblCellMar>
          <w:top w:w="8" w:type="dxa"/>
          <w:left w:w="106" w:type="dxa"/>
          <w:bottom w:w="0" w:type="dxa"/>
          <w:right w:w="105" w:type="dxa"/>
        </w:tblCellMar>
      </w:tblPr>
      <w:tblGrid>
        <w:gridCol w:w="1560"/>
        <w:gridCol w:w="284"/>
        <w:gridCol w:w="1135"/>
        <w:gridCol w:w="6023"/>
      </w:tblGrid>
      <w:tr>
        <w:tblPrEx>
          <w:tblLayout w:type="fixed"/>
          <w:tblCellMar>
            <w:top w:w="8" w:type="dxa"/>
            <w:left w:w="106" w:type="dxa"/>
            <w:bottom w:w="0" w:type="dxa"/>
            <w:right w:w="105" w:type="dxa"/>
          </w:tblCellMar>
        </w:tblPrEx>
        <w:trPr>
          <w:trHeight w:val="351" w:hRule="atLeast"/>
        </w:trPr>
        <w:tc>
          <w:tcPr>
            <w:tcW w:w="1844" w:type="dxa"/>
            <w:gridSpan w:val="2"/>
            <w:tcBorders>
              <w:top w:val="single" w:color="000000" w:sz="4" w:space="0"/>
              <w:left w:val="single" w:color="000000" w:sz="4" w:space="0"/>
              <w:bottom w:val="single" w:color="000000" w:sz="4" w:space="0"/>
              <w:right w:val="single" w:color="000000" w:sz="4" w:space="0"/>
            </w:tcBorders>
          </w:tcPr>
          <w:p>
            <w:pPr>
              <w:spacing w:after="0"/>
              <w:ind w:left="2" w:firstLine="0"/>
              <w:jc w:val="both"/>
            </w:pPr>
            <w:r>
              <w:rPr>
                <w:b/>
                <w:sz w:val="24"/>
              </w:rPr>
              <w:t xml:space="preserve">Module Name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2" w:firstLine="0"/>
            </w:pPr>
            <w:r>
              <w:rPr>
                <w:b/>
                <w:sz w:val="24"/>
              </w:rPr>
              <w:t xml:space="preserve">Financial Management II </w:t>
            </w:r>
          </w:p>
        </w:tc>
      </w:tr>
      <w:tr>
        <w:tblPrEx>
          <w:tblLayout w:type="fixed"/>
          <w:tblCellMar>
            <w:top w:w="8" w:type="dxa"/>
            <w:left w:w="106" w:type="dxa"/>
            <w:bottom w:w="0" w:type="dxa"/>
            <w:right w:w="105" w:type="dxa"/>
          </w:tblCellMar>
        </w:tblPrEx>
        <w:trPr>
          <w:trHeight w:val="350" w:hRule="atLeast"/>
        </w:trPr>
        <w:tc>
          <w:tcPr>
            <w:tcW w:w="1844" w:type="dxa"/>
            <w:gridSpan w:val="2"/>
            <w:tcBorders>
              <w:top w:val="single" w:color="000000" w:sz="4" w:space="0"/>
              <w:left w:val="single" w:color="000000" w:sz="4" w:space="0"/>
              <w:bottom w:val="single" w:color="000000" w:sz="4" w:space="0"/>
              <w:right w:val="single" w:color="000000" w:sz="4" w:space="0"/>
            </w:tcBorders>
          </w:tcPr>
          <w:p>
            <w:pPr>
              <w:spacing w:after="0"/>
              <w:ind w:left="2" w:firstLine="0"/>
            </w:pPr>
            <w:r>
              <w:rPr>
                <w:b/>
                <w:sz w:val="24"/>
              </w:rPr>
              <w:t xml:space="preserve">Module Code </w:t>
            </w:r>
          </w:p>
        </w:tc>
        <w:tc>
          <w:tcPr>
            <w:tcW w:w="7158" w:type="dxa"/>
            <w:gridSpan w:val="2"/>
            <w:tcBorders>
              <w:top w:val="single" w:color="000000" w:sz="4" w:space="0"/>
              <w:left w:val="single" w:color="000000" w:sz="4" w:space="0"/>
              <w:bottom w:val="single" w:color="000000" w:sz="4" w:space="0"/>
              <w:right w:val="single" w:color="000000" w:sz="4" w:space="0"/>
            </w:tcBorders>
          </w:tcPr>
          <w:p>
            <w:pPr>
              <w:spacing w:after="0"/>
              <w:ind w:left="2" w:firstLine="0"/>
            </w:pPr>
            <w:r>
              <w:rPr>
                <w:b/>
                <w:sz w:val="24"/>
              </w:rPr>
              <w:t xml:space="preserve">AFFM325 </w:t>
            </w:r>
          </w:p>
        </w:tc>
      </w:tr>
      <w:tr>
        <w:tblPrEx>
          <w:tblLayout w:type="fixed"/>
          <w:tblCellMar>
            <w:top w:w="8" w:type="dxa"/>
            <w:left w:w="106" w:type="dxa"/>
            <w:bottom w:w="0" w:type="dxa"/>
            <w:right w:w="105" w:type="dxa"/>
          </w:tblCellMar>
        </w:tblPrEx>
        <w:trPr>
          <w:trHeight w:val="346" w:hRule="atLeast"/>
        </w:trPr>
        <w:tc>
          <w:tcPr>
            <w:tcW w:w="9002" w:type="dxa"/>
            <w:gridSpan w:val="4"/>
            <w:tcBorders>
              <w:top w:val="single" w:color="000000" w:sz="4" w:space="0"/>
              <w:left w:val="single" w:color="000000" w:sz="4" w:space="0"/>
              <w:bottom w:val="single" w:color="000000" w:sz="4" w:space="0"/>
              <w:right w:val="single" w:color="000000" w:sz="4" w:space="0"/>
            </w:tcBorders>
          </w:tcPr>
          <w:p>
            <w:pPr>
              <w:spacing w:after="0"/>
              <w:ind w:left="2" w:firstLine="0"/>
            </w:pPr>
            <w:r>
              <w:rPr>
                <w:b/>
                <w:sz w:val="24"/>
              </w:rPr>
              <w:t xml:space="preserve">Required Texts and Resources </w:t>
            </w:r>
          </w:p>
        </w:tc>
      </w:tr>
      <w:tr>
        <w:tblPrEx>
          <w:tblLayout w:type="fixed"/>
          <w:tblCellMar>
            <w:top w:w="8" w:type="dxa"/>
            <w:left w:w="106" w:type="dxa"/>
            <w:bottom w:w="0" w:type="dxa"/>
            <w:right w:w="105" w:type="dxa"/>
          </w:tblCellMar>
        </w:tblPrEx>
        <w:trPr>
          <w:trHeight w:val="838" w:hRule="atLeast"/>
        </w:trPr>
        <w:tc>
          <w:tcPr>
            <w:tcW w:w="9002" w:type="dxa"/>
            <w:gridSpan w:val="4"/>
            <w:tcBorders>
              <w:top w:val="single" w:color="000000" w:sz="4" w:space="0"/>
              <w:left w:val="single" w:color="000000" w:sz="4" w:space="0"/>
              <w:bottom w:val="single" w:color="000000" w:sz="4" w:space="0"/>
              <w:right w:val="single" w:color="000000" w:sz="4" w:space="0"/>
            </w:tcBorders>
          </w:tcPr>
          <w:p>
            <w:pPr>
              <w:spacing w:after="0"/>
              <w:ind w:left="2" w:firstLine="0"/>
            </w:pPr>
            <w:r>
              <w:rPr>
                <w:sz w:val="24"/>
              </w:rPr>
              <w:t xml:space="preserve">Fundamentals of Corporate Finance, 2nd Ed, Stephen A. Ross, Randolph W. </w:t>
            </w:r>
          </w:p>
          <w:p>
            <w:pPr>
              <w:spacing w:after="0"/>
              <w:ind w:left="2" w:firstLine="0"/>
            </w:pPr>
            <w:r>
              <w:rPr>
                <w:sz w:val="24"/>
              </w:rPr>
              <w:t>Westerfield, Bradford D. Jordan, Joseph Lim, Ruth Tan, McGraw Hill, ISBN:</w:t>
            </w:r>
            <w:r>
              <w:rPr>
                <w:rFonts w:ascii="Times New Roman" w:hAnsi="Times New Roman" w:eastAsia="Times New Roman" w:cs="Times New Roman"/>
                <w:sz w:val="24"/>
              </w:rPr>
              <w:t xml:space="preserve"> </w:t>
            </w:r>
            <w:r>
              <w:rPr>
                <w:sz w:val="24"/>
              </w:rPr>
              <w:t xml:space="preserve">978-9814-59504-9 </w:t>
            </w:r>
          </w:p>
        </w:tc>
      </w:tr>
      <w:tr>
        <w:tblPrEx>
          <w:tblLayout w:type="fixed"/>
          <w:tblCellMar>
            <w:top w:w="8" w:type="dxa"/>
            <w:left w:w="106" w:type="dxa"/>
            <w:bottom w:w="0" w:type="dxa"/>
            <w:right w:w="105" w:type="dxa"/>
          </w:tblCellMar>
        </w:tblPrEx>
        <w:trPr>
          <w:trHeight w:val="350" w:hRule="atLeast"/>
        </w:trPr>
        <w:tc>
          <w:tcPr>
            <w:tcW w:w="9002" w:type="dxa"/>
            <w:gridSpan w:val="4"/>
            <w:tcBorders>
              <w:top w:val="single" w:color="000000" w:sz="4" w:space="0"/>
              <w:left w:val="single" w:color="000000" w:sz="4" w:space="0"/>
              <w:bottom w:val="single" w:color="000000" w:sz="4" w:space="0"/>
              <w:right w:val="single" w:color="000000" w:sz="4" w:space="0"/>
            </w:tcBorders>
          </w:tcPr>
          <w:p>
            <w:pPr>
              <w:spacing w:after="0"/>
              <w:ind w:left="2" w:firstLine="0"/>
            </w:pPr>
            <w:r>
              <w:rPr>
                <w:b/>
                <w:sz w:val="24"/>
              </w:rPr>
              <w:t xml:space="preserve">Course Outline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b/>
                <w:sz w:val="24"/>
              </w:rPr>
              <w:t xml:space="preserve">Week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b/>
                <w:sz w:val="24"/>
              </w:rPr>
              <w:t xml:space="preserve">Chapter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Topic </w:t>
            </w:r>
          </w:p>
        </w:tc>
      </w:tr>
      <w:tr>
        <w:tblPrEx>
          <w:tblLayout w:type="fixed"/>
          <w:tblCellMar>
            <w:top w:w="8" w:type="dxa"/>
            <w:left w:w="106" w:type="dxa"/>
            <w:bottom w:w="0" w:type="dxa"/>
            <w:right w:w="105" w:type="dxa"/>
          </w:tblCellMar>
        </w:tblPrEx>
        <w:trPr>
          <w:trHeight w:val="348"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Part 5 Risk and Return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rFonts w:hint="eastAsia" w:eastAsia="宋体"/>
                <w:sz w:val="24"/>
                <w:lang w:val="en-US" w:eastAsia="zh-CN"/>
              </w:rPr>
              <w:t>1</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12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Some Lessons From Capital Market History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sz w:val="24"/>
              </w:rPr>
              <w:t>2</w:t>
            </w:r>
            <w:r>
              <w:rPr>
                <w:rFonts w:hint="eastAsia" w:eastAsia="宋体"/>
                <w:sz w:val="24"/>
                <w:lang w:val="en-US" w:eastAsia="zh-CN"/>
              </w:rPr>
              <w:t>-3</w:t>
            </w: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13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Return, Risk and The Security Market Line </w:t>
            </w:r>
          </w:p>
        </w:tc>
      </w:tr>
      <w:tr>
        <w:tblPrEx>
          <w:tblLayout w:type="fixed"/>
          <w:tblCellMar>
            <w:top w:w="8" w:type="dxa"/>
            <w:left w:w="106" w:type="dxa"/>
            <w:bottom w:w="0" w:type="dxa"/>
            <w:right w:w="105" w:type="dxa"/>
          </w:tblCellMar>
        </w:tblPrEx>
        <w:trPr>
          <w:trHeight w:val="562" w:hRule="atLeast"/>
        </w:trPr>
        <w:tc>
          <w:tcPr>
            <w:tcW w:w="1560" w:type="dxa"/>
            <w:tcBorders>
              <w:top w:val="single" w:color="000000" w:sz="4" w:space="0"/>
              <w:left w:val="single" w:color="000000" w:sz="4" w:space="0"/>
              <w:bottom w:val="single" w:color="000000" w:sz="4" w:space="0"/>
              <w:right w:val="single" w:color="000000" w:sz="4" w:space="0"/>
            </w:tcBorders>
            <w:vAlign w:val="center"/>
          </w:tcPr>
          <w:p>
            <w:pPr>
              <w:spacing w:after="0"/>
              <w:ind w:left="2" w:firstLine="0"/>
            </w:pP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vAlign w:val="center"/>
          </w:tcPr>
          <w:p>
            <w:pPr>
              <w:spacing w:after="0"/>
              <w:ind w:left="3" w:firstLine="0"/>
            </w:pPr>
            <w:r>
              <w:rPr>
                <w:sz w:val="24"/>
              </w:rPr>
              <w:t xml:space="preserve">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Part 6 Cost of Capital and Long Term Financial Policy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rFonts w:hint="eastAsia" w:eastAsia="宋体"/>
                <w:sz w:val="24"/>
                <w:lang w:val="en-US" w:eastAsia="zh-CN"/>
              </w:rPr>
              <w:t>3</w:t>
            </w:r>
            <w:r>
              <w:rPr>
                <w:sz w:val="24"/>
              </w:rPr>
              <w:t>-</w:t>
            </w:r>
            <w:r>
              <w:rPr>
                <w:rFonts w:hint="eastAsia" w:eastAsia="宋体"/>
                <w:sz w:val="24"/>
                <w:lang w:val="en-US" w:eastAsia="zh-CN"/>
              </w:rPr>
              <w:t>4</w:t>
            </w: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14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Cost of Capital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sz w:val="24"/>
              </w:rPr>
              <w:t>5</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15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Raising Capital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rFonts w:hint="eastAsia" w:eastAsia="宋体"/>
                <w:sz w:val="24"/>
                <w:lang w:val="en-US" w:eastAsia="zh-CN"/>
              </w:rPr>
              <w:t>6-7</w:t>
            </w: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16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Financial Leverage And Capital Structure Policy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rFonts w:hint="eastAsia" w:eastAsia="宋体"/>
                <w:sz w:val="24"/>
                <w:lang w:val="en-US" w:eastAsia="zh-CN"/>
              </w:rPr>
              <w:t>7-8</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17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Dividends and Payout Policy </w:t>
            </w:r>
          </w:p>
        </w:tc>
      </w:tr>
      <w:tr>
        <w:tblPrEx>
          <w:tblLayout w:type="fixed"/>
          <w:tblCellMar>
            <w:top w:w="8" w:type="dxa"/>
            <w:left w:w="106" w:type="dxa"/>
            <w:bottom w:w="0" w:type="dxa"/>
            <w:right w:w="105" w:type="dxa"/>
          </w:tblCellMar>
        </w:tblPrEx>
        <w:trPr>
          <w:trHeight w:val="562" w:hRule="atLeast"/>
        </w:trPr>
        <w:tc>
          <w:tcPr>
            <w:tcW w:w="1560" w:type="dxa"/>
            <w:tcBorders>
              <w:top w:val="single" w:color="000000" w:sz="4" w:space="0"/>
              <w:left w:val="single" w:color="000000" w:sz="4" w:space="0"/>
              <w:bottom w:val="single" w:color="000000" w:sz="4" w:space="0"/>
              <w:right w:val="single" w:color="000000" w:sz="4" w:space="0"/>
            </w:tcBorders>
            <w:vAlign w:val="center"/>
          </w:tcPr>
          <w:p>
            <w:pPr>
              <w:spacing w:after="0"/>
              <w:ind w:left="2" w:firstLine="0"/>
            </w:pPr>
            <w:r>
              <w:rPr>
                <w:rFonts w:hint="eastAsia" w:eastAsia="宋体"/>
                <w:sz w:val="24"/>
                <w:lang w:val="en-US" w:eastAsia="zh-CN"/>
              </w:rPr>
              <w:t>8</w:t>
            </w: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vAlign w:val="center"/>
          </w:tcPr>
          <w:p>
            <w:pPr>
              <w:spacing w:after="0"/>
              <w:ind w:left="3" w:firstLine="0"/>
            </w:pPr>
            <w:r>
              <w:rPr>
                <w:sz w:val="24"/>
              </w:rPr>
              <w:t xml:space="preserve">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right="91" w:firstLine="0"/>
            </w:pPr>
            <w:r>
              <w:rPr>
                <w:b/>
                <w:sz w:val="24"/>
              </w:rPr>
              <w:t>Continuous Assessment 1 – Test 1 (25%)  Chapter 12 to 17</w:t>
            </w:r>
            <w:r>
              <w:rPr>
                <w:sz w:val="24"/>
              </w:rPr>
              <w:t xml:space="preserve"> </w:t>
            </w:r>
          </w:p>
        </w:tc>
      </w:tr>
      <w:tr>
        <w:tblPrEx>
          <w:tblLayout w:type="fixed"/>
          <w:tblCellMar>
            <w:top w:w="8" w:type="dxa"/>
            <w:left w:w="106" w:type="dxa"/>
            <w:bottom w:w="0" w:type="dxa"/>
            <w:right w:w="105" w:type="dxa"/>
          </w:tblCellMar>
        </w:tblPrEx>
        <w:trPr>
          <w:trHeight w:val="562" w:hRule="atLeast"/>
        </w:trPr>
        <w:tc>
          <w:tcPr>
            <w:tcW w:w="1560" w:type="dxa"/>
            <w:tcBorders>
              <w:top w:val="single" w:color="000000" w:sz="4" w:space="0"/>
              <w:left w:val="single" w:color="000000" w:sz="4" w:space="0"/>
              <w:bottom w:val="single" w:color="000000" w:sz="4" w:space="0"/>
              <w:right w:val="single" w:color="000000" w:sz="4" w:space="0"/>
            </w:tcBorders>
            <w:vAlign w:val="center"/>
          </w:tcPr>
          <w:p>
            <w:pPr>
              <w:spacing w:after="0"/>
              <w:ind w:left="2" w:firstLine="0"/>
            </w:pP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vAlign w:val="center"/>
          </w:tcPr>
          <w:p>
            <w:pPr>
              <w:spacing w:after="0"/>
              <w:ind w:left="3" w:firstLine="0"/>
            </w:pPr>
            <w:r>
              <w:rPr>
                <w:sz w:val="24"/>
              </w:rPr>
              <w:t xml:space="preserve">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Part 7 Short Term Financial Planning and </w:t>
            </w:r>
          </w:p>
          <w:p>
            <w:pPr>
              <w:spacing w:after="0"/>
              <w:ind w:left="0" w:firstLine="0"/>
            </w:pPr>
            <w:r>
              <w:rPr>
                <w:b/>
                <w:sz w:val="24"/>
              </w:rPr>
              <w:t xml:space="preserve">Management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rFonts w:hint="eastAsia" w:eastAsia="宋体"/>
                <w:sz w:val="24"/>
                <w:lang w:val="en-US" w:eastAsia="zh-CN"/>
              </w:rPr>
              <w:t>9-10</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18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Short Term Finance and Planning </w:t>
            </w:r>
          </w:p>
        </w:tc>
      </w:tr>
      <w:tr>
        <w:tblPrEx>
          <w:tblLayout w:type="fixed"/>
          <w:tblCellMar>
            <w:top w:w="8" w:type="dxa"/>
            <w:left w:w="106" w:type="dxa"/>
            <w:bottom w:w="0" w:type="dxa"/>
            <w:right w:w="105" w:type="dxa"/>
          </w:tblCellMar>
        </w:tblPrEx>
        <w:trPr>
          <w:trHeight w:val="351"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sz w:val="24"/>
              </w:rPr>
              <w:t>1</w:t>
            </w:r>
            <w:r>
              <w:rPr>
                <w:rFonts w:hint="eastAsia" w:eastAsia="宋体"/>
                <w:sz w:val="24"/>
                <w:lang w:val="en-US" w:eastAsia="zh-CN"/>
              </w:rPr>
              <w:t>0</w:t>
            </w:r>
            <w:r>
              <w:rPr>
                <w:sz w:val="24"/>
              </w:rPr>
              <w:t>-1</w:t>
            </w:r>
            <w:r>
              <w:rPr>
                <w:rFonts w:hint="eastAsia" w:eastAsia="宋体"/>
                <w:sz w:val="24"/>
                <w:lang w:val="en-US" w:eastAsia="zh-CN"/>
              </w:rPr>
              <w:t>1</w:t>
            </w: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19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Cash and Liquidity Management </w:t>
            </w:r>
          </w:p>
        </w:tc>
      </w:tr>
      <w:tr>
        <w:tblPrEx>
          <w:tblLayout w:type="fixed"/>
          <w:tblCellMar>
            <w:top w:w="8" w:type="dxa"/>
            <w:left w:w="106" w:type="dxa"/>
            <w:bottom w:w="0" w:type="dxa"/>
            <w:right w:w="105" w:type="dxa"/>
          </w:tblCellMar>
        </w:tblPrEx>
        <w:trPr>
          <w:trHeight w:val="348"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rFonts w:hint="eastAsia" w:eastAsia="宋体"/>
                <w:sz w:val="24"/>
                <w:lang w:val="en-US" w:eastAsia="zh-CN"/>
              </w:rPr>
              <w:t>12</w:t>
            </w:r>
            <w:r>
              <w:rPr>
                <w:sz w:val="24"/>
              </w:rPr>
              <w:t>-1</w:t>
            </w:r>
            <w:r>
              <w:rPr>
                <w:rFonts w:hint="eastAsia" w:eastAsia="宋体"/>
                <w:sz w:val="24"/>
                <w:lang w:val="en-US" w:eastAsia="zh-CN"/>
              </w:rPr>
              <w:t>3</w:t>
            </w: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20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Credit and Inventory Management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b/>
                <w:sz w:val="24"/>
              </w:rPr>
              <w:t xml:space="preserve">Part 8 Topics in Corporate Finance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sz w:val="24"/>
              </w:rPr>
              <w:t>1</w:t>
            </w:r>
            <w:r>
              <w:rPr>
                <w:rFonts w:hint="eastAsia" w:eastAsia="宋体"/>
                <w:sz w:val="24"/>
                <w:lang w:val="en-US" w:eastAsia="zh-CN"/>
              </w:rPr>
              <w:t>4</w:t>
            </w:r>
            <w:r>
              <w:rPr>
                <w:sz w:val="24"/>
              </w:rPr>
              <w:t xml:space="preserve">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21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International Corporate Finance </w:t>
            </w:r>
          </w:p>
        </w:tc>
      </w:tr>
      <w:tr>
        <w:tblPrEx>
          <w:tblLayout w:type="fixed"/>
          <w:tblCellMar>
            <w:top w:w="8" w:type="dxa"/>
            <w:left w:w="106" w:type="dxa"/>
            <w:bottom w:w="0" w:type="dxa"/>
            <w:right w:w="105" w:type="dxa"/>
          </w:tblCellMar>
        </w:tblPrEx>
        <w:trPr>
          <w:trHeight w:val="350" w:hRule="atLeast"/>
        </w:trPr>
        <w:tc>
          <w:tcPr>
            <w:tcW w:w="1560" w:type="dxa"/>
            <w:tcBorders>
              <w:top w:val="single" w:color="000000" w:sz="4" w:space="0"/>
              <w:left w:val="single" w:color="000000" w:sz="4" w:space="0"/>
              <w:bottom w:val="single" w:color="000000" w:sz="4" w:space="0"/>
              <w:right w:val="single" w:color="000000" w:sz="4" w:space="0"/>
            </w:tcBorders>
          </w:tcPr>
          <w:p>
            <w:pPr>
              <w:spacing w:after="0"/>
              <w:ind w:left="2" w:firstLine="0"/>
            </w:pPr>
            <w:r>
              <w:rPr>
                <w:sz w:val="24"/>
              </w:rPr>
              <w:t xml:space="preserve">15 </w:t>
            </w:r>
          </w:p>
        </w:tc>
        <w:tc>
          <w:tcPr>
            <w:tcW w:w="1419" w:type="dxa"/>
            <w:gridSpan w:val="2"/>
            <w:tcBorders>
              <w:top w:val="single" w:color="000000" w:sz="4" w:space="0"/>
              <w:left w:val="single" w:color="000000" w:sz="4" w:space="0"/>
              <w:bottom w:val="single" w:color="000000" w:sz="4" w:space="0"/>
              <w:right w:val="single" w:color="000000" w:sz="4" w:space="0"/>
            </w:tcBorders>
          </w:tcPr>
          <w:p>
            <w:pPr>
              <w:spacing w:after="0"/>
              <w:ind w:left="3" w:firstLine="0"/>
            </w:pPr>
            <w:r>
              <w:rPr>
                <w:sz w:val="24"/>
              </w:rPr>
              <w:t xml:space="preserve"> </w:t>
            </w:r>
          </w:p>
        </w:tc>
        <w:tc>
          <w:tcPr>
            <w:tcW w:w="6023" w:type="dxa"/>
            <w:tcBorders>
              <w:top w:val="single" w:color="000000" w:sz="4" w:space="0"/>
              <w:left w:val="single" w:color="000000" w:sz="4" w:space="0"/>
              <w:bottom w:val="single" w:color="000000" w:sz="4" w:space="0"/>
              <w:right w:val="single" w:color="000000" w:sz="4" w:space="0"/>
            </w:tcBorders>
          </w:tcPr>
          <w:p>
            <w:pPr>
              <w:spacing w:after="0"/>
              <w:ind w:left="0" w:firstLine="0"/>
            </w:pPr>
            <w:r>
              <w:rPr>
                <w:sz w:val="24"/>
              </w:rPr>
              <w:t xml:space="preserve">Revision </w:t>
            </w:r>
          </w:p>
        </w:tc>
      </w:tr>
    </w:tbl>
    <w:p>
      <w:pPr>
        <w:spacing w:after="4144"/>
        <w:ind w:left="0" w:firstLine="0"/>
      </w:pPr>
      <w:r>
        <w:t xml:space="preserve"> </w:t>
      </w:r>
    </w:p>
    <w:sectPr>
      <w:pgSz w:w="11906" w:h="16838"/>
      <w:pgMar w:top="1445" w:right="1436" w:bottom="709"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DengXian">
    <w:altName w:val="宋体"/>
    <w:panose1 w:val="02010600030101010101"/>
    <w:charset w:val="86"/>
    <w:family w:val="auto"/>
    <w:pitch w:val="default"/>
    <w:sig w:usb0="00000000" w:usb1="00000000" w:usb2="00000016" w:usb3="00000000" w:csb0="0004000F" w:csb1="00000000"/>
  </w:font>
  <w:font w:name="Segoe UI Symbol">
    <w:panose1 w:val="020B0502040204020203"/>
    <w:charset w:val="00"/>
    <w:family w:val="swiss"/>
    <w:pitch w:val="default"/>
    <w:sig w:usb0="8000006F" w:usb1="1200FBEF" w:usb2="0004C000" w:usb3="00000000" w:csb0="00000001" w:csb1="40000000"/>
  </w:font>
  <w:font w:name="DengXian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panose1 w:val="02020500000000000000"/>
    <w:charset w:val="88"/>
    <w:family w:val="auto"/>
    <w:pitch w:val="default"/>
    <w:sig w:usb0="A00002FF" w:usb1="28CFFCFA" w:usb2="00000016" w:usb3="00000000" w:csb0="00100001" w:csb1="00000000"/>
  </w:font>
  <w:font w:name="Calibri">
    <w:panose1 w:val="020F0502020204030204"/>
    <w:charset w:val="86"/>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510B8"/>
    <w:multiLevelType w:val="multilevel"/>
    <w:tmpl w:val="4A4510B8"/>
    <w:lvl w:ilvl="0" w:tentative="0">
      <w:start w:val="1"/>
      <w:numFmt w:val="decimal"/>
      <w:lvlText w:val="%1."/>
      <w:lvlJc w:val="left"/>
      <w:pPr>
        <w:ind w:left="571"/>
      </w:pPr>
      <w:rPr>
        <w:rFonts w:ascii="Arial" w:hAnsi="Arial" w:eastAsia="Arial" w:cs="Arial"/>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1308"/>
      </w:pPr>
      <w:rPr>
        <w:rFonts w:ascii="Arial" w:hAnsi="Arial" w:eastAsia="Arial" w:cs="Arial"/>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2028"/>
      </w:pPr>
      <w:rPr>
        <w:rFonts w:ascii="Arial" w:hAnsi="Arial" w:eastAsia="Arial" w:cs="Arial"/>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2748"/>
      </w:pPr>
      <w:rPr>
        <w:rFonts w:ascii="Arial" w:hAnsi="Arial" w:eastAsia="Arial" w:cs="Arial"/>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3468"/>
      </w:pPr>
      <w:rPr>
        <w:rFonts w:ascii="Arial" w:hAnsi="Arial" w:eastAsia="Arial" w:cs="Arial"/>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4188"/>
      </w:pPr>
      <w:rPr>
        <w:rFonts w:ascii="Arial" w:hAnsi="Arial" w:eastAsia="Arial" w:cs="Arial"/>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4908"/>
      </w:pPr>
      <w:rPr>
        <w:rFonts w:ascii="Arial" w:hAnsi="Arial" w:eastAsia="Arial" w:cs="Arial"/>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5628"/>
      </w:pPr>
      <w:rPr>
        <w:rFonts w:ascii="Arial" w:hAnsi="Arial" w:eastAsia="Arial" w:cs="Arial"/>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6348"/>
      </w:pPr>
      <w:rPr>
        <w:rFonts w:ascii="Arial" w:hAnsi="Arial" w:eastAsia="Arial" w:cs="Arial"/>
        <w:b w:val="0"/>
        <w:i w:val="0"/>
        <w:strike w:val="0"/>
        <w:dstrike w:val="0"/>
        <w:color w:val="000000"/>
        <w:sz w:val="24"/>
        <w:szCs w:val="24"/>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B96"/>
    <w:rsid w:val="0023421A"/>
    <w:rsid w:val="002A4B96"/>
    <w:rsid w:val="004B52EF"/>
    <w:rsid w:val="006232B9"/>
    <w:rsid w:val="00746DAF"/>
    <w:rsid w:val="00986584"/>
    <w:rsid w:val="0AD3426D"/>
    <w:rsid w:val="0B023F14"/>
    <w:rsid w:val="0E9104E9"/>
    <w:rsid w:val="11ED31A7"/>
    <w:rsid w:val="125952C6"/>
    <w:rsid w:val="1BE823A3"/>
    <w:rsid w:val="1D887DE6"/>
    <w:rsid w:val="24530B98"/>
    <w:rsid w:val="25562D45"/>
    <w:rsid w:val="28757B95"/>
    <w:rsid w:val="2D1576FA"/>
    <w:rsid w:val="39214273"/>
    <w:rsid w:val="3A126D94"/>
    <w:rsid w:val="47AA7506"/>
    <w:rsid w:val="50D45BFF"/>
    <w:rsid w:val="53974753"/>
    <w:rsid w:val="57B77BBF"/>
    <w:rsid w:val="5D287BDA"/>
    <w:rsid w:val="5F6D2723"/>
    <w:rsid w:val="60616616"/>
    <w:rsid w:val="61E64B72"/>
    <w:rsid w:val="645804D7"/>
    <w:rsid w:val="726A0D9B"/>
    <w:rsid w:val="7650489A"/>
    <w:rsid w:val="79973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27" w:line="259" w:lineRule="auto"/>
      <w:ind w:left="10" w:hanging="10"/>
    </w:pPr>
    <w:rPr>
      <w:rFonts w:ascii="Arial" w:hAnsi="Arial" w:eastAsia="Arial" w:cs="Arial"/>
      <w:color w:val="000000"/>
      <w:kern w:val="2"/>
      <w:sz w:val="18"/>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customStyle="1" w:styleId="4">
    <w:name w:val="TableGri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450</Words>
  <Characters>2571</Characters>
  <Lines>21</Lines>
  <Paragraphs>6</Paragraphs>
  <ScaleCrop>false</ScaleCrop>
  <LinksUpToDate>false</LinksUpToDate>
  <CharactersWithSpaces>3015</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2017-03-03T06:31:00Z</dcterms:created>
  <dc:creator>YMH</dc:creator>
  <cp:lastModifiedBy>Administrator</cp:lastModifiedBy>
  <dcterms:modified xsi:type="dcterms:W3CDTF">2017-12-06T04:25:06Z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